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E2CB" w14:textId="77777777" w:rsidR="00E36ECD" w:rsidRPr="00E36ECD" w:rsidRDefault="00E36ECD" w:rsidP="00E36ECD">
      <w:pPr>
        <w:shd w:val="clear" w:color="auto" w:fill="FFFFFF"/>
        <w:spacing w:after="0" w:line="240" w:lineRule="auto"/>
        <w:rPr>
          <w:rFonts w:ascii="Verdana" w:eastAsia="Times New Roman" w:hAnsi="Verdana" w:cs="Times New Roman"/>
          <w:b/>
          <w:bCs/>
          <w:color w:val="333333"/>
          <w:sz w:val="29"/>
          <w:szCs w:val="29"/>
        </w:rPr>
      </w:pPr>
      <w:r w:rsidRPr="00E36ECD">
        <w:rPr>
          <w:rFonts w:ascii="Verdana" w:eastAsia="Times New Roman" w:hAnsi="Verdana" w:cs="Times New Roman"/>
          <w:b/>
          <w:bCs/>
          <w:color w:val="333333"/>
          <w:sz w:val="29"/>
          <w:szCs w:val="29"/>
        </w:rPr>
        <w:t>§ 192.163 Compressor stations: Design and construction.</w:t>
      </w:r>
    </w:p>
    <w:p w14:paraId="27F363B5"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(a)</w:t>
      </w:r>
      <w:r w:rsidRPr="00E36ECD">
        <w:rPr>
          <w:rFonts w:ascii="Verdana" w:eastAsia="Times New Roman" w:hAnsi="Verdana" w:cs="Times New Roman"/>
          <w:b/>
          <w:bCs/>
          <w:i/>
          <w:iCs/>
          <w:color w:val="333333"/>
          <w:sz w:val="24"/>
          <w:szCs w:val="24"/>
        </w:rPr>
        <w:t>Location of compressor building.</w:t>
      </w:r>
      <w:r w:rsidRPr="00E36ECD">
        <w:rPr>
          <w:rFonts w:ascii="Verdana" w:eastAsia="Times New Roman" w:hAnsi="Verdana" w:cs="Times New Roman"/>
          <w:color w:val="333333"/>
          <w:sz w:val="24"/>
          <w:szCs w:val="24"/>
        </w:rPr>
        <w:t> Except for a compressor building on a platform located </w:t>
      </w:r>
      <w:hyperlink r:id="rId4" w:history="1">
        <w:r w:rsidRPr="00E36ECD">
          <w:rPr>
            <w:rFonts w:ascii="Verdana" w:eastAsia="Times New Roman" w:hAnsi="Verdana" w:cs="Times New Roman"/>
            <w:color w:val="337AB7"/>
            <w:sz w:val="24"/>
            <w:szCs w:val="24"/>
            <w:u w:val="single"/>
          </w:rPr>
          <w:t>offshore</w:t>
        </w:r>
      </w:hyperlink>
      <w:r w:rsidRPr="00E36ECD">
        <w:rPr>
          <w:rFonts w:ascii="Verdana" w:eastAsia="Times New Roman" w:hAnsi="Verdana" w:cs="Times New Roman"/>
          <w:color w:val="333333"/>
          <w:sz w:val="24"/>
          <w:szCs w:val="24"/>
        </w:rPr>
        <w:t> or in inland navigable waters, each </w:t>
      </w:r>
      <w:hyperlink r:id="rId5" w:history="1">
        <w:r w:rsidRPr="00E36ECD">
          <w:rPr>
            <w:rFonts w:ascii="Verdana" w:eastAsia="Times New Roman" w:hAnsi="Verdana" w:cs="Times New Roman"/>
            <w:color w:val="337AB7"/>
            <w:sz w:val="24"/>
            <w:szCs w:val="24"/>
            <w:u w:val="single"/>
          </w:rPr>
          <w:t>main</w:t>
        </w:r>
      </w:hyperlink>
      <w:r w:rsidRPr="00E36ECD">
        <w:rPr>
          <w:rFonts w:ascii="Verdana" w:eastAsia="Times New Roman" w:hAnsi="Verdana" w:cs="Times New Roman"/>
          <w:color w:val="333333"/>
          <w:sz w:val="24"/>
          <w:szCs w:val="24"/>
        </w:rPr>
        <w:t> compressor building of a compressor station must be located on property under the control of the </w:t>
      </w:r>
      <w:hyperlink r:id="rId6" w:history="1">
        <w:r w:rsidRPr="00E36ECD">
          <w:rPr>
            <w:rFonts w:ascii="Verdana" w:eastAsia="Times New Roman" w:hAnsi="Verdana" w:cs="Times New Roman"/>
            <w:color w:val="337AB7"/>
            <w:sz w:val="24"/>
            <w:szCs w:val="24"/>
            <w:u w:val="single"/>
          </w:rPr>
          <w:t>operator</w:t>
        </w:r>
      </w:hyperlink>
      <w:r w:rsidRPr="00E36ECD">
        <w:rPr>
          <w:rFonts w:ascii="Verdana" w:eastAsia="Times New Roman" w:hAnsi="Verdana" w:cs="Times New Roman"/>
          <w:color w:val="333333"/>
          <w:sz w:val="24"/>
          <w:szCs w:val="24"/>
        </w:rPr>
        <w:t>. It must be far enough away from adjacent property, not under control of the </w:t>
      </w:r>
      <w:hyperlink r:id="rId7" w:history="1">
        <w:r w:rsidRPr="00E36ECD">
          <w:rPr>
            <w:rFonts w:ascii="Verdana" w:eastAsia="Times New Roman" w:hAnsi="Verdana" w:cs="Times New Roman"/>
            <w:color w:val="337AB7"/>
            <w:sz w:val="24"/>
            <w:szCs w:val="24"/>
            <w:u w:val="single"/>
          </w:rPr>
          <w:t>operator</w:t>
        </w:r>
      </w:hyperlink>
      <w:r w:rsidRPr="00E36ECD">
        <w:rPr>
          <w:rFonts w:ascii="Verdana" w:eastAsia="Times New Roman" w:hAnsi="Verdana" w:cs="Times New Roman"/>
          <w:color w:val="333333"/>
          <w:sz w:val="24"/>
          <w:szCs w:val="24"/>
        </w:rPr>
        <w:t>, to minimize the possibility of fire being communicated to the compressor building from structures on adjacent property. There must be enough open space around the </w:t>
      </w:r>
      <w:hyperlink r:id="rId8" w:history="1">
        <w:r w:rsidRPr="00E36ECD">
          <w:rPr>
            <w:rFonts w:ascii="Verdana" w:eastAsia="Times New Roman" w:hAnsi="Verdana" w:cs="Times New Roman"/>
            <w:color w:val="337AB7"/>
            <w:sz w:val="24"/>
            <w:szCs w:val="24"/>
            <w:u w:val="single"/>
          </w:rPr>
          <w:t>main</w:t>
        </w:r>
      </w:hyperlink>
      <w:r w:rsidRPr="00E36ECD">
        <w:rPr>
          <w:rFonts w:ascii="Verdana" w:eastAsia="Times New Roman" w:hAnsi="Verdana" w:cs="Times New Roman"/>
          <w:color w:val="333333"/>
          <w:sz w:val="24"/>
          <w:szCs w:val="24"/>
        </w:rPr>
        <w:t> compressor building to allow the free movement of fire-fighting equipment.</w:t>
      </w:r>
    </w:p>
    <w:p w14:paraId="3F44E80D"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(b)</w:t>
      </w:r>
      <w:r w:rsidRPr="00E36ECD">
        <w:rPr>
          <w:rFonts w:ascii="Verdana" w:eastAsia="Times New Roman" w:hAnsi="Verdana" w:cs="Times New Roman"/>
          <w:b/>
          <w:bCs/>
          <w:i/>
          <w:iCs/>
          <w:color w:val="333333"/>
          <w:sz w:val="24"/>
          <w:szCs w:val="24"/>
        </w:rPr>
        <w:t>Building construction.</w:t>
      </w:r>
      <w:r w:rsidRPr="00E36ECD">
        <w:rPr>
          <w:rFonts w:ascii="Verdana" w:eastAsia="Times New Roman" w:hAnsi="Verdana" w:cs="Times New Roman"/>
          <w:color w:val="333333"/>
          <w:sz w:val="24"/>
          <w:szCs w:val="24"/>
        </w:rPr>
        <w:t> Each building on a compressor station site must be made of noncombustible materials if it contains either -</w:t>
      </w:r>
    </w:p>
    <w:p w14:paraId="518717A2"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(1)</w:t>
      </w:r>
      <w:hyperlink r:id="rId9" w:history="1">
        <w:r w:rsidRPr="00E36ECD">
          <w:rPr>
            <w:rFonts w:ascii="Verdana" w:eastAsia="Times New Roman" w:hAnsi="Verdana" w:cs="Times New Roman"/>
            <w:color w:val="337AB7"/>
            <w:sz w:val="24"/>
            <w:szCs w:val="24"/>
            <w:u w:val="single"/>
          </w:rPr>
          <w:t>Pipe</w:t>
        </w:r>
      </w:hyperlink>
      <w:r w:rsidRPr="00E36ECD">
        <w:rPr>
          <w:rFonts w:ascii="Verdana" w:eastAsia="Times New Roman" w:hAnsi="Verdana" w:cs="Times New Roman"/>
          <w:color w:val="333333"/>
          <w:sz w:val="24"/>
          <w:szCs w:val="24"/>
        </w:rPr>
        <w:t> more than 2 inches (51 millimeters) in diameter that is carrying </w:t>
      </w:r>
      <w:hyperlink r:id="rId10"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under pressure; or</w:t>
      </w:r>
    </w:p>
    <w:p w14:paraId="46A284AF"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(2)</w:t>
      </w:r>
      <w:hyperlink r:id="rId11"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handling equipment other than </w:t>
      </w:r>
      <w:hyperlink r:id="rId12"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utilization equipment used for domestic purposes.</w:t>
      </w:r>
    </w:p>
    <w:p w14:paraId="63C8F774"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(c)</w:t>
      </w:r>
      <w:r w:rsidRPr="00E36ECD">
        <w:rPr>
          <w:rFonts w:ascii="Verdana" w:eastAsia="Times New Roman" w:hAnsi="Verdana" w:cs="Times New Roman"/>
          <w:b/>
          <w:bCs/>
          <w:i/>
          <w:iCs/>
          <w:color w:val="333333"/>
          <w:sz w:val="24"/>
          <w:szCs w:val="24"/>
        </w:rPr>
        <w:t>Exits.</w:t>
      </w:r>
      <w:r w:rsidRPr="00E36ECD">
        <w:rPr>
          <w:rFonts w:ascii="Verdana" w:eastAsia="Times New Roman" w:hAnsi="Verdana" w:cs="Times New Roman"/>
          <w:color w:val="333333"/>
          <w:sz w:val="24"/>
          <w:szCs w:val="24"/>
        </w:rPr>
        <w:t> Each operating floor of a </w:t>
      </w:r>
      <w:hyperlink r:id="rId13" w:history="1">
        <w:r w:rsidRPr="00E36ECD">
          <w:rPr>
            <w:rFonts w:ascii="Verdana" w:eastAsia="Times New Roman" w:hAnsi="Verdana" w:cs="Times New Roman"/>
            <w:color w:val="337AB7"/>
            <w:sz w:val="24"/>
            <w:szCs w:val="24"/>
            <w:u w:val="single"/>
          </w:rPr>
          <w:t>main</w:t>
        </w:r>
      </w:hyperlink>
      <w:r w:rsidRPr="00E36ECD">
        <w:rPr>
          <w:rFonts w:ascii="Verdana" w:eastAsia="Times New Roman" w:hAnsi="Verdana" w:cs="Times New Roman"/>
          <w:color w:val="333333"/>
          <w:sz w:val="24"/>
          <w:szCs w:val="24"/>
        </w:rPr>
        <w:t> compressor building must have at least two separated and unobstructed exits located so as to provide a convenient possibility of escape and an unobstructed passage to a place of safety. Each door latch on an exit must be of a type which can be readily opened from the inside without a key. Each swinging door located in an exterior wall must be mounted to swing outward.</w:t>
      </w:r>
    </w:p>
    <w:p w14:paraId="2FC9FABA"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(d)</w:t>
      </w:r>
      <w:r w:rsidRPr="00E36ECD">
        <w:rPr>
          <w:rFonts w:ascii="Verdana" w:eastAsia="Times New Roman" w:hAnsi="Verdana" w:cs="Times New Roman"/>
          <w:b/>
          <w:bCs/>
          <w:i/>
          <w:iCs/>
          <w:color w:val="333333"/>
          <w:sz w:val="24"/>
          <w:szCs w:val="24"/>
        </w:rPr>
        <w:t>Fenced areas.</w:t>
      </w:r>
      <w:r w:rsidRPr="00E36ECD">
        <w:rPr>
          <w:rFonts w:ascii="Verdana" w:eastAsia="Times New Roman" w:hAnsi="Verdana" w:cs="Times New Roman"/>
          <w:color w:val="333333"/>
          <w:sz w:val="24"/>
          <w:szCs w:val="24"/>
        </w:rPr>
        <w:t> Each fence around a compressor station must have at least two gates located so as to provide a convenient opportunity for escape to a place of safety, or have other facilities affording a similarly convenient exit from the area. Each gate located within 200 feet (61 meters) of any compressor plant building must open outward and, when occupied, must be openable from the inside without a key.</w:t>
      </w:r>
    </w:p>
    <w:p w14:paraId="72A48663"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(e)</w:t>
      </w:r>
      <w:r w:rsidRPr="00E36ECD">
        <w:rPr>
          <w:rFonts w:ascii="Verdana" w:eastAsia="Times New Roman" w:hAnsi="Verdana" w:cs="Times New Roman"/>
          <w:b/>
          <w:bCs/>
          <w:i/>
          <w:iCs/>
          <w:color w:val="333333"/>
          <w:sz w:val="24"/>
          <w:szCs w:val="24"/>
        </w:rPr>
        <w:t>Electrical facilities.</w:t>
      </w:r>
      <w:r w:rsidRPr="00E36ECD">
        <w:rPr>
          <w:rFonts w:ascii="Verdana" w:eastAsia="Times New Roman" w:hAnsi="Verdana" w:cs="Times New Roman"/>
          <w:color w:val="333333"/>
          <w:sz w:val="24"/>
          <w:szCs w:val="24"/>
        </w:rPr>
        <w:t> Electrical equipment and wiring installed in compressor stations must conform to the NFPA-70, so far as that code is applicable.</w:t>
      </w:r>
    </w:p>
    <w:p w14:paraId="1CAA89FE" w14:textId="77777777" w:rsidR="00E36ECD" w:rsidRPr="00E36ECD" w:rsidRDefault="00E36ECD" w:rsidP="00E36ECD">
      <w:pPr>
        <w:shd w:val="clear" w:color="auto" w:fill="FFFFFF"/>
        <w:spacing w:after="0" w:line="240" w:lineRule="auto"/>
        <w:rPr>
          <w:rFonts w:ascii="Verdana" w:eastAsia="Times New Roman" w:hAnsi="Verdana" w:cs="Times New Roman"/>
          <w:b/>
          <w:bCs/>
          <w:color w:val="333333"/>
          <w:sz w:val="29"/>
          <w:szCs w:val="29"/>
        </w:rPr>
      </w:pPr>
      <w:r w:rsidRPr="00E36ECD">
        <w:rPr>
          <w:rFonts w:ascii="Verdana" w:eastAsia="Times New Roman" w:hAnsi="Verdana" w:cs="Times New Roman"/>
          <w:b/>
          <w:bCs/>
          <w:color w:val="333333"/>
          <w:sz w:val="29"/>
          <w:szCs w:val="29"/>
        </w:rPr>
        <w:t>§ 192.165 Compressor stations: Liquid removal.</w:t>
      </w:r>
    </w:p>
    <w:p w14:paraId="557C8AFF"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(a)</w:t>
      </w:r>
      <w:r w:rsidRPr="00E36ECD">
        <w:rPr>
          <w:rFonts w:ascii="Verdana" w:eastAsia="Times New Roman" w:hAnsi="Verdana" w:cs="Times New Roman"/>
          <w:color w:val="333333"/>
          <w:sz w:val="24"/>
          <w:szCs w:val="24"/>
        </w:rPr>
        <w:t> Where entrained vapors in </w:t>
      </w:r>
      <w:hyperlink r:id="rId14"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w:t>
      </w:r>
      <w:hyperlink r:id="rId15" w:history="1">
        <w:r w:rsidRPr="00E36ECD">
          <w:rPr>
            <w:rFonts w:ascii="Verdana" w:eastAsia="Times New Roman" w:hAnsi="Verdana" w:cs="Times New Roman"/>
            <w:color w:val="337AB7"/>
            <w:sz w:val="24"/>
            <w:szCs w:val="24"/>
            <w:u w:val="single"/>
          </w:rPr>
          <w:t>may</w:t>
        </w:r>
      </w:hyperlink>
      <w:r w:rsidRPr="00E36ECD">
        <w:rPr>
          <w:rFonts w:ascii="Verdana" w:eastAsia="Times New Roman" w:hAnsi="Verdana" w:cs="Times New Roman"/>
          <w:color w:val="333333"/>
          <w:sz w:val="24"/>
          <w:szCs w:val="24"/>
        </w:rPr>
        <w:t> liquefy under the anticipated pressure and temperature conditions, the compressor must be protected against the introduction of those liquids in quantities that could cause damage.</w:t>
      </w:r>
    </w:p>
    <w:p w14:paraId="25ED3B8B"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lastRenderedPageBreak/>
        <w:t>(b)</w:t>
      </w:r>
      <w:r w:rsidRPr="00E36ECD">
        <w:rPr>
          <w:rFonts w:ascii="Verdana" w:eastAsia="Times New Roman" w:hAnsi="Verdana" w:cs="Times New Roman"/>
          <w:color w:val="333333"/>
          <w:sz w:val="24"/>
          <w:szCs w:val="24"/>
        </w:rPr>
        <w:t> Each liquid separator used to remove entrained liquids at a compressor station must:</w:t>
      </w:r>
    </w:p>
    <w:p w14:paraId="19121459"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(1)</w:t>
      </w:r>
      <w:r w:rsidRPr="00E36ECD">
        <w:rPr>
          <w:rFonts w:ascii="Verdana" w:eastAsia="Times New Roman" w:hAnsi="Verdana" w:cs="Times New Roman"/>
          <w:color w:val="333333"/>
          <w:sz w:val="24"/>
          <w:szCs w:val="24"/>
        </w:rPr>
        <w:t> Have a manually operable means of removing these liquids.</w:t>
      </w:r>
    </w:p>
    <w:p w14:paraId="65A34D6E"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(2)</w:t>
      </w:r>
      <w:r w:rsidRPr="00E36ECD">
        <w:rPr>
          <w:rFonts w:ascii="Verdana" w:eastAsia="Times New Roman" w:hAnsi="Verdana" w:cs="Times New Roman"/>
          <w:color w:val="333333"/>
          <w:sz w:val="24"/>
          <w:szCs w:val="24"/>
        </w:rPr>
        <w:t> Where slugs of liquid could be carried into the compressors, have either automatic liquid removal facilities, an automatic compressor shutdown device, or a high liquid level </w:t>
      </w:r>
      <w:hyperlink r:id="rId16" w:history="1">
        <w:r w:rsidRPr="00E36ECD">
          <w:rPr>
            <w:rFonts w:ascii="Verdana" w:eastAsia="Times New Roman" w:hAnsi="Verdana" w:cs="Times New Roman"/>
            <w:color w:val="337AB7"/>
            <w:sz w:val="24"/>
            <w:szCs w:val="24"/>
            <w:u w:val="single"/>
          </w:rPr>
          <w:t>alarm</w:t>
        </w:r>
      </w:hyperlink>
      <w:r w:rsidRPr="00E36ECD">
        <w:rPr>
          <w:rFonts w:ascii="Verdana" w:eastAsia="Times New Roman" w:hAnsi="Verdana" w:cs="Times New Roman"/>
          <w:color w:val="333333"/>
          <w:sz w:val="24"/>
          <w:szCs w:val="24"/>
        </w:rPr>
        <w:t>; and</w:t>
      </w:r>
    </w:p>
    <w:p w14:paraId="44DE7085"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(3)</w:t>
      </w:r>
      <w:r w:rsidRPr="00E36ECD">
        <w:rPr>
          <w:rFonts w:ascii="Verdana" w:eastAsia="Times New Roman" w:hAnsi="Verdana" w:cs="Times New Roman"/>
          <w:color w:val="333333"/>
          <w:sz w:val="24"/>
          <w:szCs w:val="24"/>
        </w:rPr>
        <w:t> Be manufactured in accordance with section VIII ASME Boiler and Pressure Vessel Code (BPVC) (incorporated by reference, </w:t>
      </w:r>
      <w:r w:rsidRPr="00E36ECD">
        <w:rPr>
          <w:rFonts w:ascii="Verdana" w:eastAsia="Times New Roman" w:hAnsi="Verdana" w:cs="Times New Roman"/>
          <w:b/>
          <w:bCs/>
          <w:i/>
          <w:iCs/>
          <w:color w:val="333333"/>
          <w:sz w:val="24"/>
          <w:szCs w:val="24"/>
        </w:rPr>
        <w:t>see</w:t>
      </w:r>
      <w:hyperlink r:id="rId17" w:history="1">
        <w:r w:rsidRPr="00E36ECD">
          <w:rPr>
            <w:rFonts w:ascii="Verdana" w:eastAsia="Times New Roman" w:hAnsi="Verdana" w:cs="Times New Roman"/>
            <w:color w:val="337AB7"/>
            <w:sz w:val="24"/>
            <w:szCs w:val="24"/>
            <w:u w:val="single"/>
          </w:rPr>
          <w:t>§ 192.7</w:t>
        </w:r>
      </w:hyperlink>
      <w:r w:rsidRPr="00E36ECD">
        <w:rPr>
          <w:rFonts w:ascii="Verdana" w:eastAsia="Times New Roman" w:hAnsi="Verdana" w:cs="Times New Roman"/>
          <w:color w:val="333333"/>
          <w:sz w:val="24"/>
          <w:szCs w:val="24"/>
        </w:rPr>
        <w:t>) and the additional requirements of </w:t>
      </w:r>
      <w:hyperlink r:id="rId18" w:anchor="e" w:history="1">
        <w:r w:rsidRPr="00E36ECD">
          <w:rPr>
            <w:rFonts w:ascii="Verdana" w:eastAsia="Times New Roman" w:hAnsi="Verdana" w:cs="Times New Roman"/>
            <w:color w:val="337AB7"/>
            <w:sz w:val="24"/>
            <w:szCs w:val="24"/>
            <w:u w:val="single"/>
          </w:rPr>
          <w:t>§ 192.153(e)</w:t>
        </w:r>
      </w:hyperlink>
      <w:r w:rsidRPr="00E36ECD">
        <w:rPr>
          <w:rFonts w:ascii="Verdana" w:eastAsia="Times New Roman" w:hAnsi="Verdana" w:cs="Times New Roman"/>
          <w:color w:val="333333"/>
          <w:sz w:val="24"/>
          <w:szCs w:val="24"/>
        </w:rPr>
        <w:t xml:space="preserve"> except that liquid separators constructed </w:t>
      </w:r>
      <w:proofErr w:type="spellStart"/>
      <w:r w:rsidRPr="00E36ECD">
        <w:rPr>
          <w:rFonts w:ascii="Verdana" w:eastAsia="Times New Roman" w:hAnsi="Verdana" w:cs="Times New Roman"/>
          <w:color w:val="333333"/>
          <w:sz w:val="24"/>
          <w:szCs w:val="24"/>
        </w:rPr>
        <w:t>of</w:t>
      </w:r>
      <w:hyperlink r:id="rId19" w:history="1">
        <w:r w:rsidRPr="00E36ECD">
          <w:rPr>
            <w:rFonts w:ascii="Verdana" w:eastAsia="Times New Roman" w:hAnsi="Verdana" w:cs="Times New Roman"/>
            <w:color w:val="337AB7"/>
            <w:sz w:val="24"/>
            <w:szCs w:val="24"/>
            <w:u w:val="single"/>
          </w:rPr>
          <w:t>pipe</w:t>
        </w:r>
        <w:proofErr w:type="spellEnd"/>
      </w:hyperlink>
      <w:r w:rsidRPr="00E36ECD">
        <w:rPr>
          <w:rFonts w:ascii="Verdana" w:eastAsia="Times New Roman" w:hAnsi="Verdana" w:cs="Times New Roman"/>
          <w:color w:val="333333"/>
          <w:sz w:val="24"/>
          <w:szCs w:val="24"/>
        </w:rPr>
        <w:t> and fittings without internal welding must be fabricated with a design factor of 0.4, or less.</w:t>
      </w:r>
    </w:p>
    <w:p w14:paraId="7D124C83" w14:textId="77777777" w:rsidR="00E36ECD" w:rsidRPr="00E36ECD" w:rsidRDefault="00E36ECD" w:rsidP="00E36ECD">
      <w:pPr>
        <w:shd w:val="clear" w:color="auto" w:fill="FFFFFF"/>
        <w:spacing w:after="0" w:line="240" w:lineRule="auto"/>
        <w:rPr>
          <w:rFonts w:ascii="Verdana" w:eastAsia="Times New Roman" w:hAnsi="Verdana" w:cs="Times New Roman"/>
          <w:b/>
          <w:bCs/>
          <w:color w:val="333333"/>
          <w:sz w:val="29"/>
          <w:szCs w:val="29"/>
        </w:rPr>
      </w:pPr>
      <w:r w:rsidRPr="00E36ECD">
        <w:rPr>
          <w:rFonts w:ascii="Verdana" w:eastAsia="Times New Roman" w:hAnsi="Verdana" w:cs="Times New Roman"/>
          <w:b/>
          <w:bCs/>
          <w:color w:val="333333"/>
          <w:sz w:val="29"/>
          <w:szCs w:val="29"/>
        </w:rPr>
        <w:t>§ 192.167 Compressor stations: Emergency shutdown.</w:t>
      </w:r>
    </w:p>
    <w:p w14:paraId="420E2B5C"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(a)</w:t>
      </w:r>
      <w:r w:rsidRPr="00E36ECD">
        <w:rPr>
          <w:rFonts w:ascii="Verdana" w:eastAsia="Times New Roman" w:hAnsi="Verdana" w:cs="Times New Roman"/>
          <w:color w:val="333333"/>
          <w:sz w:val="24"/>
          <w:szCs w:val="24"/>
        </w:rPr>
        <w:t> Except for unattended field compressor stations of 1,000 horsepower (746 kilowatts) or less, each compressor station must have an emergency shutdown system that meets the following:</w:t>
      </w:r>
    </w:p>
    <w:p w14:paraId="34A2464F"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(1)</w:t>
      </w:r>
      <w:r w:rsidRPr="00E36ECD">
        <w:rPr>
          <w:rFonts w:ascii="Verdana" w:eastAsia="Times New Roman" w:hAnsi="Verdana" w:cs="Times New Roman"/>
          <w:color w:val="333333"/>
          <w:sz w:val="24"/>
          <w:szCs w:val="24"/>
        </w:rPr>
        <w:t> It must be able to block </w:t>
      </w:r>
      <w:hyperlink r:id="rId20"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out of the station and blow down the station piping.</w:t>
      </w:r>
    </w:p>
    <w:p w14:paraId="50700F07"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(2)</w:t>
      </w:r>
      <w:r w:rsidRPr="00E36ECD">
        <w:rPr>
          <w:rFonts w:ascii="Verdana" w:eastAsia="Times New Roman" w:hAnsi="Verdana" w:cs="Times New Roman"/>
          <w:color w:val="333333"/>
          <w:sz w:val="24"/>
          <w:szCs w:val="24"/>
        </w:rPr>
        <w:t> It must discharge </w:t>
      </w:r>
      <w:hyperlink r:id="rId21"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from the blowdown piping at a location where the </w:t>
      </w:r>
      <w:hyperlink r:id="rId22"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will not create a hazard.</w:t>
      </w:r>
    </w:p>
    <w:p w14:paraId="75FD6092"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(3)</w:t>
      </w:r>
      <w:r w:rsidRPr="00E36ECD">
        <w:rPr>
          <w:rFonts w:ascii="Verdana" w:eastAsia="Times New Roman" w:hAnsi="Verdana" w:cs="Times New Roman"/>
          <w:color w:val="333333"/>
          <w:sz w:val="24"/>
          <w:szCs w:val="24"/>
        </w:rPr>
        <w:t> It must provide means for the shutdown of </w:t>
      </w:r>
      <w:hyperlink r:id="rId23"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compressing equipment, </w:t>
      </w:r>
      <w:hyperlink r:id="rId24"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fires, and electrical facilities in the vicinity of </w:t>
      </w:r>
      <w:hyperlink r:id="rId25"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headers and in the compressor building, except that:</w:t>
      </w:r>
    </w:p>
    <w:p w14:paraId="146EC9DC"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w:t>
      </w:r>
      <w:r w:rsidRPr="00E36ECD">
        <w:rPr>
          <w:rFonts w:ascii="Verdana" w:eastAsia="Times New Roman" w:hAnsi="Verdana" w:cs="Times New Roman"/>
          <w:color w:val="333333"/>
          <w:sz w:val="24"/>
          <w:szCs w:val="24"/>
        </w:rPr>
        <w:t> Electrical circuits that supply emergency lighting required to assist station personnel in evacuating the compressor building and the area in the vicinity of the </w:t>
      </w:r>
      <w:hyperlink r:id="rId26"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headers must remain energized; and</w:t>
      </w:r>
    </w:p>
    <w:p w14:paraId="7942CA78"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(ii)</w:t>
      </w:r>
      <w:r w:rsidRPr="00E36ECD">
        <w:rPr>
          <w:rFonts w:ascii="Verdana" w:eastAsia="Times New Roman" w:hAnsi="Verdana" w:cs="Times New Roman"/>
          <w:color w:val="333333"/>
          <w:sz w:val="24"/>
          <w:szCs w:val="24"/>
        </w:rPr>
        <w:t> Electrical circuits needed to protect equipment from damage </w:t>
      </w:r>
      <w:hyperlink r:id="rId27" w:history="1">
        <w:r w:rsidRPr="00E36ECD">
          <w:rPr>
            <w:rFonts w:ascii="Verdana" w:eastAsia="Times New Roman" w:hAnsi="Verdana" w:cs="Times New Roman"/>
            <w:color w:val="337AB7"/>
            <w:sz w:val="24"/>
            <w:szCs w:val="24"/>
            <w:u w:val="single"/>
          </w:rPr>
          <w:t>may</w:t>
        </w:r>
      </w:hyperlink>
      <w:r w:rsidRPr="00E36ECD">
        <w:rPr>
          <w:rFonts w:ascii="Verdana" w:eastAsia="Times New Roman" w:hAnsi="Verdana" w:cs="Times New Roman"/>
          <w:color w:val="333333"/>
          <w:sz w:val="24"/>
          <w:szCs w:val="24"/>
        </w:rPr>
        <w:t> remain energized.</w:t>
      </w:r>
    </w:p>
    <w:p w14:paraId="125E5DB9"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(4)</w:t>
      </w:r>
      <w:r w:rsidRPr="00E36ECD">
        <w:rPr>
          <w:rFonts w:ascii="Verdana" w:eastAsia="Times New Roman" w:hAnsi="Verdana" w:cs="Times New Roman"/>
          <w:color w:val="333333"/>
          <w:sz w:val="24"/>
          <w:szCs w:val="24"/>
        </w:rPr>
        <w:t> It must be operable from at least two locations, each of which is:</w:t>
      </w:r>
    </w:p>
    <w:p w14:paraId="493E4D0F"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w:t>
      </w:r>
      <w:r w:rsidRPr="00E36ECD">
        <w:rPr>
          <w:rFonts w:ascii="Verdana" w:eastAsia="Times New Roman" w:hAnsi="Verdana" w:cs="Times New Roman"/>
          <w:color w:val="333333"/>
          <w:sz w:val="24"/>
          <w:szCs w:val="24"/>
        </w:rPr>
        <w:t> Outside the </w:t>
      </w:r>
      <w:hyperlink r:id="rId28"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area of the station;</w:t>
      </w:r>
    </w:p>
    <w:p w14:paraId="761F23E5"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(ii)</w:t>
      </w:r>
      <w:r w:rsidRPr="00E36ECD">
        <w:rPr>
          <w:rFonts w:ascii="Verdana" w:eastAsia="Times New Roman" w:hAnsi="Verdana" w:cs="Times New Roman"/>
          <w:color w:val="333333"/>
          <w:sz w:val="24"/>
          <w:szCs w:val="24"/>
        </w:rPr>
        <w:t> Near the exit gates, if the station is fenced, or near emergency exits, if not fenced; and</w:t>
      </w:r>
    </w:p>
    <w:p w14:paraId="23B0F42A"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(iii)</w:t>
      </w:r>
      <w:r w:rsidRPr="00E36ECD">
        <w:rPr>
          <w:rFonts w:ascii="Verdana" w:eastAsia="Times New Roman" w:hAnsi="Verdana" w:cs="Times New Roman"/>
          <w:color w:val="333333"/>
          <w:sz w:val="24"/>
          <w:szCs w:val="24"/>
        </w:rPr>
        <w:t> Not more than 500 feet (153 meters) from the limits of the station.</w:t>
      </w:r>
    </w:p>
    <w:p w14:paraId="5693BF5B"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(b)</w:t>
      </w:r>
      <w:r w:rsidRPr="00E36ECD">
        <w:rPr>
          <w:rFonts w:ascii="Verdana" w:eastAsia="Times New Roman" w:hAnsi="Verdana" w:cs="Times New Roman"/>
          <w:color w:val="333333"/>
          <w:sz w:val="24"/>
          <w:szCs w:val="24"/>
        </w:rPr>
        <w:t> If a compressor station supplies </w:t>
      </w:r>
      <w:hyperlink r:id="rId29"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directly to a distribution system with no other adequate source of </w:t>
      </w:r>
      <w:proofErr w:type="spellStart"/>
      <w:r w:rsidRPr="00E36ECD">
        <w:rPr>
          <w:rFonts w:ascii="Verdana" w:eastAsia="Times New Roman" w:hAnsi="Verdana" w:cs="Times New Roman"/>
          <w:color w:val="333333"/>
          <w:sz w:val="24"/>
          <w:szCs w:val="24"/>
        </w:rPr>
        <w:fldChar w:fldCharType="begin"/>
      </w:r>
      <w:r w:rsidRPr="00E36ECD">
        <w:rPr>
          <w:rFonts w:ascii="Verdana" w:eastAsia="Times New Roman" w:hAnsi="Verdana" w:cs="Times New Roman"/>
          <w:color w:val="333333"/>
          <w:sz w:val="24"/>
          <w:szCs w:val="24"/>
        </w:rPr>
        <w:instrText xml:space="preserve"> HYPERLINK "https://www.law.cornell.edu/cfr/text/49/192.167" </w:instrText>
      </w:r>
      <w:r w:rsidRPr="00E36ECD">
        <w:rPr>
          <w:rFonts w:ascii="Verdana" w:eastAsia="Times New Roman" w:hAnsi="Verdana" w:cs="Times New Roman"/>
          <w:color w:val="333333"/>
          <w:sz w:val="24"/>
          <w:szCs w:val="24"/>
        </w:rPr>
        <w:fldChar w:fldCharType="separate"/>
      </w:r>
      <w:r w:rsidRPr="00E36ECD">
        <w:rPr>
          <w:rFonts w:ascii="Verdana" w:eastAsia="Times New Roman" w:hAnsi="Verdana" w:cs="Times New Roman"/>
          <w:color w:val="337AB7"/>
          <w:sz w:val="24"/>
          <w:szCs w:val="24"/>
          <w:u w:val="single"/>
        </w:rPr>
        <w:t>gas</w:t>
      </w:r>
      <w:r w:rsidRPr="00E36ECD">
        <w:rPr>
          <w:rFonts w:ascii="Verdana" w:eastAsia="Times New Roman" w:hAnsi="Verdana" w:cs="Times New Roman"/>
          <w:color w:val="333333"/>
          <w:sz w:val="24"/>
          <w:szCs w:val="24"/>
        </w:rPr>
        <w:fldChar w:fldCharType="end"/>
      </w:r>
      <w:r w:rsidRPr="00E36ECD">
        <w:rPr>
          <w:rFonts w:ascii="Verdana" w:eastAsia="Times New Roman" w:hAnsi="Verdana" w:cs="Times New Roman"/>
          <w:color w:val="333333"/>
          <w:sz w:val="24"/>
          <w:szCs w:val="24"/>
        </w:rPr>
        <w:t>available</w:t>
      </w:r>
      <w:proofErr w:type="spellEnd"/>
      <w:r w:rsidRPr="00E36ECD">
        <w:rPr>
          <w:rFonts w:ascii="Verdana" w:eastAsia="Times New Roman" w:hAnsi="Verdana" w:cs="Times New Roman"/>
          <w:color w:val="333333"/>
          <w:sz w:val="24"/>
          <w:szCs w:val="24"/>
        </w:rPr>
        <w:t>, the emergency shutdown system must be designed so that it will not function at the wrong time and cause an unintended outage on the distribution system.</w:t>
      </w:r>
    </w:p>
    <w:p w14:paraId="7D20E690"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lastRenderedPageBreak/>
        <w:t>(c)</w:t>
      </w:r>
      <w:r w:rsidRPr="00E36ECD">
        <w:rPr>
          <w:rFonts w:ascii="Verdana" w:eastAsia="Times New Roman" w:hAnsi="Verdana" w:cs="Times New Roman"/>
          <w:color w:val="333333"/>
          <w:sz w:val="24"/>
          <w:szCs w:val="24"/>
        </w:rPr>
        <w:t> On a platform located </w:t>
      </w:r>
      <w:hyperlink r:id="rId30" w:history="1">
        <w:r w:rsidRPr="00E36ECD">
          <w:rPr>
            <w:rFonts w:ascii="Verdana" w:eastAsia="Times New Roman" w:hAnsi="Verdana" w:cs="Times New Roman"/>
            <w:color w:val="337AB7"/>
            <w:sz w:val="24"/>
            <w:szCs w:val="24"/>
            <w:u w:val="single"/>
          </w:rPr>
          <w:t>offshore</w:t>
        </w:r>
      </w:hyperlink>
      <w:r w:rsidRPr="00E36ECD">
        <w:rPr>
          <w:rFonts w:ascii="Verdana" w:eastAsia="Times New Roman" w:hAnsi="Verdana" w:cs="Times New Roman"/>
          <w:color w:val="333333"/>
          <w:sz w:val="24"/>
          <w:szCs w:val="24"/>
        </w:rPr>
        <w:t> or in inland navigable waters, the emergency shutdown system must be designed and installed to actuate automatically by each of the following events:</w:t>
      </w:r>
    </w:p>
    <w:p w14:paraId="723A20B7"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(1)</w:t>
      </w:r>
      <w:r w:rsidRPr="00E36ECD">
        <w:rPr>
          <w:rFonts w:ascii="Verdana" w:eastAsia="Times New Roman" w:hAnsi="Verdana" w:cs="Times New Roman"/>
          <w:color w:val="333333"/>
          <w:sz w:val="24"/>
          <w:szCs w:val="24"/>
        </w:rPr>
        <w:t> In the case of an unattended compressor station:</w:t>
      </w:r>
    </w:p>
    <w:p w14:paraId="3B05F6CE"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w:t>
      </w:r>
      <w:r w:rsidRPr="00E36ECD">
        <w:rPr>
          <w:rFonts w:ascii="Verdana" w:eastAsia="Times New Roman" w:hAnsi="Verdana" w:cs="Times New Roman"/>
          <w:color w:val="333333"/>
          <w:sz w:val="24"/>
          <w:szCs w:val="24"/>
        </w:rPr>
        <w:t> When the </w:t>
      </w:r>
      <w:hyperlink r:id="rId31"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pressure equals the </w:t>
      </w:r>
      <w:hyperlink r:id="rId32" w:history="1">
        <w:r w:rsidRPr="00E36ECD">
          <w:rPr>
            <w:rFonts w:ascii="Verdana" w:eastAsia="Times New Roman" w:hAnsi="Verdana" w:cs="Times New Roman"/>
            <w:color w:val="337AB7"/>
            <w:sz w:val="24"/>
            <w:szCs w:val="24"/>
            <w:u w:val="single"/>
          </w:rPr>
          <w:t>maximum allowable operating pressure</w:t>
        </w:r>
      </w:hyperlink>
      <w:r w:rsidRPr="00E36ECD">
        <w:rPr>
          <w:rFonts w:ascii="Verdana" w:eastAsia="Times New Roman" w:hAnsi="Verdana" w:cs="Times New Roman"/>
          <w:color w:val="333333"/>
          <w:sz w:val="24"/>
          <w:szCs w:val="24"/>
        </w:rPr>
        <w:t> plus 15 percent; or</w:t>
      </w:r>
    </w:p>
    <w:p w14:paraId="6EDA0D15"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(ii)</w:t>
      </w:r>
      <w:r w:rsidRPr="00E36ECD">
        <w:rPr>
          <w:rFonts w:ascii="Verdana" w:eastAsia="Times New Roman" w:hAnsi="Verdana" w:cs="Times New Roman"/>
          <w:color w:val="333333"/>
          <w:sz w:val="24"/>
          <w:szCs w:val="24"/>
        </w:rPr>
        <w:t> When an uncontrolled fire occurs on the platform; and</w:t>
      </w:r>
    </w:p>
    <w:p w14:paraId="3E34CD13" w14:textId="77777777" w:rsidR="00E36ECD" w:rsidRPr="00E36ECD" w:rsidRDefault="00E36ECD" w:rsidP="00E36ECD">
      <w:pPr>
        <w:shd w:val="clear" w:color="auto" w:fill="FFFFFF"/>
        <w:spacing w:after="150" w:line="240" w:lineRule="auto"/>
        <w:ind w:left="24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(2)</w:t>
      </w:r>
      <w:r w:rsidRPr="00E36ECD">
        <w:rPr>
          <w:rFonts w:ascii="Verdana" w:eastAsia="Times New Roman" w:hAnsi="Verdana" w:cs="Times New Roman"/>
          <w:color w:val="333333"/>
          <w:sz w:val="24"/>
          <w:szCs w:val="24"/>
        </w:rPr>
        <w:t> In the case of a compressor station in a building:</w:t>
      </w:r>
    </w:p>
    <w:p w14:paraId="0AAC21DB"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w:t>
      </w:r>
      <w:r w:rsidRPr="00E36ECD">
        <w:rPr>
          <w:rFonts w:ascii="Verdana" w:eastAsia="Times New Roman" w:hAnsi="Verdana" w:cs="Times New Roman"/>
          <w:color w:val="333333"/>
          <w:sz w:val="24"/>
          <w:szCs w:val="24"/>
        </w:rPr>
        <w:t> When an uncontrolled fire occurs in the building; or</w:t>
      </w:r>
    </w:p>
    <w:p w14:paraId="089B7AC5" w14:textId="77777777" w:rsidR="00E36ECD" w:rsidRPr="00E36ECD" w:rsidRDefault="00E36ECD" w:rsidP="00E36ECD">
      <w:pPr>
        <w:shd w:val="clear" w:color="auto" w:fill="FFFFFF"/>
        <w:spacing w:after="150" w:line="240" w:lineRule="auto"/>
        <w:ind w:left="480"/>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(ii)</w:t>
      </w:r>
      <w:r w:rsidRPr="00E36ECD">
        <w:rPr>
          <w:rFonts w:ascii="Verdana" w:eastAsia="Times New Roman" w:hAnsi="Verdana" w:cs="Times New Roman"/>
          <w:color w:val="333333"/>
          <w:sz w:val="24"/>
          <w:szCs w:val="24"/>
        </w:rPr>
        <w:t> When the concentration of </w:t>
      </w:r>
      <w:hyperlink r:id="rId33"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in air reaches 50 percent or more of the lower explosive limit in a building which has a source of ignition.</w:t>
      </w:r>
    </w:p>
    <w:p w14:paraId="3903DBD3" w14:textId="77777777" w:rsidR="00E36ECD" w:rsidRPr="00E36ECD" w:rsidRDefault="00E36ECD" w:rsidP="00E36ECD">
      <w:pPr>
        <w:shd w:val="clear" w:color="auto" w:fill="FFFFFF"/>
        <w:spacing w:after="0" w:line="240" w:lineRule="auto"/>
        <w:rPr>
          <w:rFonts w:ascii="Verdana" w:eastAsia="Times New Roman" w:hAnsi="Verdana" w:cs="Times New Roman"/>
          <w:b/>
          <w:bCs/>
          <w:color w:val="333333"/>
          <w:sz w:val="29"/>
          <w:szCs w:val="29"/>
        </w:rPr>
      </w:pPr>
      <w:r w:rsidRPr="00E36ECD">
        <w:rPr>
          <w:rFonts w:ascii="Verdana" w:eastAsia="Times New Roman" w:hAnsi="Verdana" w:cs="Times New Roman"/>
          <w:b/>
          <w:bCs/>
          <w:color w:val="333333"/>
          <w:sz w:val="29"/>
          <w:szCs w:val="29"/>
        </w:rPr>
        <w:t>§ 192.169 Compressor stations: Pressure limiting devices.</w:t>
      </w:r>
    </w:p>
    <w:p w14:paraId="6414FA14"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(a)</w:t>
      </w:r>
      <w:r w:rsidRPr="00E36ECD">
        <w:rPr>
          <w:rFonts w:ascii="Verdana" w:eastAsia="Times New Roman" w:hAnsi="Verdana" w:cs="Times New Roman"/>
          <w:color w:val="333333"/>
          <w:sz w:val="24"/>
          <w:szCs w:val="24"/>
        </w:rPr>
        <w:t> Each compressor station must have pressure relief or other suitable protective devices of sufficient capacity and sensitivity to ensure that the </w:t>
      </w:r>
      <w:hyperlink r:id="rId34" w:history="1">
        <w:r w:rsidRPr="00E36ECD">
          <w:rPr>
            <w:rFonts w:ascii="Verdana" w:eastAsia="Times New Roman" w:hAnsi="Verdana" w:cs="Times New Roman"/>
            <w:color w:val="337AB7"/>
            <w:sz w:val="24"/>
            <w:szCs w:val="24"/>
            <w:u w:val="single"/>
          </w:rPr>
          <w:t>maximum allowable operating pressure</w:t>
        </w:r>
      </w:hyperlink>
      <w:r w:rsidRPr="00E36ECD">
        <w:rPr>
          <w:rFonts w:ascii="Verdana" w:eastAsia="Times New Roman" w:hAnsi="Verdana" w:cs="Times New Roman"/>
          <w:color w:val="333333"/>
          <w:sz w:val="24"/>
          <w:szCs w:val="24"/>
        </w:rPr>
        <w:t> of the station piping and equipment is not exceeded by more than 10 percent.</w:t>
      </w:r>
    </w:p>
    <w:p w14:paraId="13CAB599"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(b)</w:t>
      </w:r>
      <w:r w:rsidRPr="00E36ECD">
        <w:rPr>
          <w:rFonts w:ascii="Verdana" w:eastAsia="Times New Roman" w:hAnsi="Verdana" w:cs="Times New Roman"/>
          <w:color w:val="333333"/>
          <w:sz w:val="24"/>
          <w:szCs w:val="24"/>
        </w:rPr>
        <w:t> Each vent line that exhausts </w:t>
      </w:r>
      <w:hyperlink r:id="rId35"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from the pressure relief valves of a compressor station must extend to a location where the </w:t>
      </w:r>
      <w:hyperlink r:id="rId36"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w:t>
      </w:r>
      <w:hyperlink r:id="rId37" w:history="1">
        <w:r w:rsidRPr="00E36ECD">
          <w:rPr>
            <w:rFonts w:ascii="Verdana" w:eastAsia="Times New Roman" w:hAnsi="Verdana" w:cs="Times New Roman"/>
            <w:color w:val="337AB7"/>
            <w:sz w:val="24"/>
            <w:szCs w:val="24"/>
            <w:u w:val="single"/>
          </w:rPr>
          <w:t>may</w:t>
        </w:r>
      </w:hyperlink>
      <w:r w:rsidRPr="00E36ECD">
        <w:rPr>
          <w:rFonts w:ascii="Verdana" w:eastAsia="Times New Roman" w:hAnsi="Verdana" w:cs="Times New Roman"/>
          <w:color w:val="333333"/>
          <w:sz w:val="24"/>
          <w:szCs w:val="24"/>
        </w:rPr>
        <w:t> be discharged without hazard.</w:t>
      </w:r>
    </w:p>
    <w:p w14:paraId="6BF4F5E0" w14:textId="77777777" w:rsidR="00E36ECD" w:rsidRPr="00E36ECD" w:rsidRDefault="00E36ECD" w:rsidP="00E36ECD">
      <w:pPr>
        <w:shd w:val="clear" w:color="auto" w:fill="FFFFFF"/>
        <w:spacing w:after="0" w:line="240" w:lineRule="auto"/>
        <w:rPr>
          <w:rFonts w:ascii="Verdana" w:eastAsia="Times New Roman" w:hAnsi="Verdana" w:cs="Times New Roman"/>
          <w:b/>
          <w:bCs/>
          <w:color w:val="333333"/>
          <w:sz w:val="29"/>
          <w:szCs w:val="29"/>
        </w:rPr>
      </w:pPr>
      <w:r w:rsidRPr="00E36ECD">
        <w:rPr>
          <w:rFonts w:ascii="Verdana" w:eastAsia="Times New Roman" w:hAnsi="Verdana" w:cs="Times New Roman"/>
          <w:b/>
          <w:bCs/>
          <w:color w:val="333333"/>
          <w:sz w:val="29"/>
          <w:szCs w:val="29"/>
        </w:rPr>
        <w:t>§ 192.171 Compressor stations: Additional safety equipment.</w:t>
      </w:r>
    </w:p>
    <w:p w14:paraId="2F8975A8"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(a)</w:t>
      </w:r>
      <w:r w:rsidRPr="00E36ECD">
        <w:rPr>
          <w:rFonts w:ascii="Verdana" w:eastAsia="Times New Roman" w:hAnsi="Verdana" w:cs="Times New Roman"/>
          <w:color w:val="333333"/>
          <w:sz w:val="24"/>
          <w:szCs w:val="24"/>
        </w:rPr>
        <w:t> Each compressor station must have adequate fire protection facilities. If fire pumps are a part of these facilities, their operation </w:t>
      </w:r>
      <w:hyperlink r:id="rId38" w:history="1">
        <w:r w:rsidRPr="00E36ECD">
          <w:rPr>
            <w:rFonts w:ascii="Verdana" w:eastAsia="Times New Roman" w:hAnsi="Verdana" w:cs="Times New Roman"/>
            <w:color w:val="337AB7"/>
            <w:sz w:val="24"/>
            <w:szCs w:val="24"/>
            <w:u w:val="single"/>
          </w:rPr>
          <w:t>may not</w:t>
        </w:r>
      </w:hyperlink>
      <w:r w:rsidRPr="00E36ECD">
        <w:rPr>
          <w:rFonts w:ascii="Verdana" w:eastAsia="Times New Roman" w:hAnsi="Verdana" w:cs="Times New Roman"/>
          <w:color w:val="333333"/>
          <w:sz w:val="24"/>
          <w:szCs w:val="24"/>
        </w:rPr>
        <w:t> be affected by the emergency shutdown system.</w:t>
      </w:r>
    </w:p>
    <w:p w14:paraId="47737B6F"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(b)</w:t>
      </w:r>
      <w:r w:rsidRPr="00E36ECD">
        <w:rPr>
          <w:rFonts w:ascii="Verdana" w:eastAsia="Times New Roman" w:hAnsi="Verdana" w:cs="Times New Roman"/>
          <w:color w:val="333333"/>
          <w:sz w:val="24"/>
          <w:szCs w:val="24"/>
        </w:rPr>
        <w:t> Each compressor station prime mover, other than an electrical induction or synchronous motor, must have an automatic device to shut down the unit before the speed of either the prime mover or the driven unit exceeds a maximum safe speed.</w:t>
      </w:r>
    </w:p>
    <w:p w14:paraId="34531D27"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(c)</w:t>
      </w:r>
      <w:r w:rsidRPr="00E36ECD">
        <w:rPr>
          <w:rFonts w:ascii="Verdana" w:eastAsia="Times New Roman" w:hAnsi="Verdana" w:cs="Times New Roman"/>
          <w:color w:val="333333"/>
          <w:sz w:val="24"/>
          <w:szCs w:val="24"/>
        </w:rPr>
        <w:t> Each compressor unit in a compressor station must have a shutdown or </w:t>
      </w:r>
      <w:hyperlink r:id="rId39" w:history="1">
        <w:r w:rsidRPr="00E36ECD">
          <w:rPr>
            <w:rFonts w:ascii="Verdana" w:eastAsia="Times New Roman" w:hAnsi="Verdana" w:cs="Times New Roman"/>
            <w:color w:val="337AB7"/>
            <w:sz w:val="24"/>
            <w:szCs w:val="24"/>
            <w:u w:val="single"/>
          </w:rPr>
          <w:t>alarm</w:t>
        </w:r>
      </w:hyperlink>
      <w:r w:rsidRPr="00E36ECD">
        <w:rPr>
          <w:rFonts w:ascii="Verdana" w:eastAsia="Times New Roman" w:hAnsi="Verdana" w:cs="Times New Roman"/>
          <w:color w:val="333333"/>
          <w:sz w:val="24"/>
          <w:szCs w:val="24"/>
        </w:rPr>
        <w:t> device that operates in the event of inadequate cooling or lubrication of the unit.</w:t>
      </w:r>
    </w:p>
    <w:p w14:paraId="7392341C"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t>(d)</w:t>
      </w:r>
      <w:r w:rsidRPr="00E36ECD">
        <w:rPr>
          <w:rFonts w:ascii="Verdana" w:eastAsia="Times New Roman" w:hAnsi="Verdana" w:cs="Times New Roman"/>
          <w:color w:val="333333"/>
          <w:sz w:val="24"/>
          <w:szCs w:val="24"/>
        </w:rPr>
        <w:t> Each compressor station </w:t>
      </w:r>
      <w:hyperlink r:id="rId40"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engine that operates with pressure </w:t>
      </w:r>
      <w:hyperlink r:id="rId41"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injection must be equipped so that stoppage of the engine automatically shuts off the fuel and vents the engine distribution manifold.</w:t>
      </w:r>
    </w:p>
    <w:p w14:paraId="4AE6194C" w14:textId="77777777" w:rsidR="00E36ECD" w:rsidRPr="00E36ECD" w:rsidRDefault="00E36ECD" w:rsidP="00E36ECD">
      <w:pPr>
        <w:shd w:val="clear" w:color="auto" w:fill="FFFFFF"/>
        <w:spacing w:before="150" w:after="150" w:line="240" w:lineRule="auto"/>
        <w:rPr>
          <w:rFonts w:ascii="Verdana" w:eastAsia="Times New Roman" w:hAnsi="Verdana" w:cs="Times New Roman"/>
          <w:color w:val="333333"/>
          <w:sz w:val="24"/>
          <w:szCs w:val="24"/>
        </w:rPr>
      </w:pPr>
      <w:r w:rsidRPr="00E36ECD">
        <w:rPr>
          <w:rFonts w:ascii="Verdana" w:eastAsia="Times New Roman" w:hAnsi="Verdana" w:cs="Times New Roman"/>
          <w:b/>
          <w:bCs/>
          <w:color w:val="333333"/>
          <w:sz w:val="24"/>
          <w:szCs w:val="24"/>
        </w:rPr>
        <w:lastRenderedPageBreak/>
        <w:t>(e)</w:t>
      </w:r>
      <w:r w:rsidRPr="00E36ECD">
        <w:rPr>
          <w:rFonts w:ascii="Verdana" w:eastAsia="Times New Roman" w:hAnsi="Verdana" w:cs="Times New Roman"/>
          <w:color w:val="333333"/>
          <w:sz w:val="24"/>
          <w:szCs w:val="24"/>
        </w:rPr>
        <w:t> Each muffler for a </w:t>
      </w:r>
      <w:hyperlink r:id="rId42"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engine in a compressor station must have vent slots or holes in the baffles of each compartment to prevent </w:t>
      </w:r>
      <w:hyperlink r:id="rId43"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from being trapped in the muffler.</w:t>
      </w:r>
    </w:p>
    <w:p w14:paraId="193FB400" w14:textId="77777777" w:rsidR="00E36ECD" w:rsidRPr="00E36ECD" w:rsidRDefault="00E36ECD" w:rsidP="00E36ECD">
      <w:pPr>
        <w:shd w:val="clear" w:color="auto" w:fill="FFFFFF"/>
        <w:spacing w:after="0" w:line="240" w:lineRule="auto"/>
        <w:rPr>
          <w:rFonts w:ascii="Verdana" w:eastAsia="Times New Roman" w:hAnsi="Verdana" w:cs="Times New Roman"/>
          <w:b/>
          <w:bCs/>
          <w:color w:val="333333"/>
          <w:sz w:val="29"/>
          <w:szCs w:val="29"/>
        </w:rPr>
      </w:pPr>
      <w:r w:rsidRPr="00E36ECD">
        <w:rPr>
          <w:rFonts w:ascii="Verdana" w:eastAsia="Times New Roman" w:hAnsi="Verdana" w:cs="Times New Roman"/>
          <w:b/>
          <w:bCs/>
          <w:color w:val="333333"/>
          <w:sz w:val="29"/>
          <w:szCs w:val="29"/>
        </w:rPr>
        <w:t>§ 192.173 Compressor stations: Ventilation.</w:t>
      </w:r>
    </w:p>
    <w:p w14:paraId="3BE93140" w14:textId="77777777" w:rsidR="00E36ECD" w:rsidRPr="00E36ECD" w:rsidRDefault="00E36ECD" w:rsidP="00E36ECD">
      <w:pPr>
        <w:shd w:val="clear" w:color="auto" w:fill="FFFFFF"/>
        <w:spacing w:after="150" w:line="240" w:lineRule="auto"/>
        <w:rPr>
          <w:rFonts w:ascii="Verdana" w:eastAsia="Times New Roman" w:hAnsi="Verdana" w:cs="Times New Roman"/>
          <w:color w:val="333333"/>
          <w:sz w:val="24"/>
          <w:szCs w:val="24"/>
        </w:rPr>
      </w:pPr>
      <w:r w:rsidRPr="00E36ECD">
        <w:rPr>
          <w:rFonts w:ascii="Verdana" w:eastAsia="Times New Roman" w:hAnsi="Verdana" w:cs="Times New Roman"/>
          <w:color w:val="333333"/>
          <w:sz w:val="24"/>
          <w:szCs w:val="24"/>
        </w:rPr>
        <w:t>Each compressor station building must be ventilated to ensure that employees are not endangered by the accumulation of </w:t>
      </w:r>
      <w:hyperlink r:id="rId44" w:history="1">
        <w:r w:rsidRPr="00E36ECD">
          <w:rPr>
            <w:rFonts w:ascii="Verdana" w:eastAsia="Times New Roman" w:hAnsi="Verdana" w:cs="Times New Roman"/>
            <w:color w:val="337AB7"/>
            <w:sz w:val="24"/>
            <w:szCs w:val="24"/>
            <w:u w:val="single"/>
          </w:rPr>
          <w:t>gas</w:t>
        </w:r>
      </w:hyperlink>
      <w:r w:rsidRPr="00E36ECD">
        <w:rPr>
          <w:rFonts w:ascii="Verdana" w:eastAsia="Times New Roman" w:hAnsi="Verdana" w:cs="Times New Roman"/>
          <w:color w:val="333333"/>
          <w:sz w:val="24"/>
          <w:szCs w:val="24"/>
        </w:rPr>
        <w:t> in rooms, sumps, attics, pits, or other enclosed places.</w:t>
      </w:r>
    </w:p>
    <w:p w14:paraId="32CBE44B" w14:textId="77777777" w:rsidR="00742509" w:rsidRDefault="00742509">
      <w:bookmarkStart w:id="0" w:name="_GoBack"/>
      <w:bookmarkEnd w:id="0"/>
    </w:p>
    <w:sectPr w:rsidR="00742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3C"/>
    <w:rsid w:val="00010C3C"/>
    <w:rsid w:val="00742509"/>
    <w:rsid w:val="00E3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FA6D0-638D-49F5-BA7A-6F4E034D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ection-1">
    <w:name w:val="psection-1"/>
    <w:basedOn w:val="Normal"/>
    <w:rsid w:val="00E36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E36ECD"/>
  </w:style>
  <w:style w:type="character" w:customStyle="1" w:styleId="et03">
    <w:name w:val="et03"/>
    <w:basedOn w:val="DefaultParagraphFont"/>
    <w:rsid w:val="00E36ECD"/>
  </w:style>
  <w:style w:type="character" w:styleId="Hyperlink">
    <w:name w:val="Hyperlink"/>
    <w:basedOn w:val="DefaultParagraphFont"/>
    <w:uiPriority w:val="99"/>
    <w:semiHidden/>
    <w:unhideWhenUsed/>
    <w:rsid w:val="00E36ECD"/>
    <w:rPr>
      <w:color w:val="0000FF"/>
      <w:u w:val="single"/>
    </w:rPr>
  </w:style>
  <w:style w:type="paragraph" w:customStyle="1" w:styleId="psection-2">
    <w:name w:val="psection-2"/>
    <w:basedOn w:val="Normal"/>
    <w:rsid w:val="00E36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E36E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6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31190">
      <w:bodyDiv w:val="1"/>
      <w:marLeft w:val="0"/>
      <w:marRight w:val="0"/>
      <w:marTop w:val="0"/>
      <w:marBottom w:val="0"/>
      <w:divBdr>
        <w:top w:val="none" w:sz="0" w:space="0" w:color="auto"/>
        <w:left w:val="none" w:sz="0" w:space="0" w:color="auto"/>
        <w:bottom w:val="none" w:sz="0" w:space="0" w:color="auto"/>
        <w:right w:val="none" w:sz="0" w:space="0" w:color="auto"/>
      </w:divBdr>
      <w:divsChild>
        <w:div w:id="73862002">
          <w:marLeft w:val="0"/>
          <w:marRight w:val="0"/>
          <w:marTop w:val="0"/>
          <w:marBottom w:val="0"/>
          <w:divBdr>
            <w:top w:val="none" w:sz="0" w:space="0" w:color="auto"/>
            <w:left w:val="none" w:sz="0" w:space="0" w:color="auto"/>
            <w:bottom w:val="none" w:sz="0" w:space="0" w:color="auto"/>
            <w:right w:val="none" w:sz="0" w:space="0" w:color="auto"/>
          </w:divBdr>
        </w:div>
      </w:divsChild>
    </w:div>
    <w:div w:id="862938599">
      <w:bodyDiv w:val="1"/>
      <w:marLeft w:val="0"/>
      <w:marRight w:val="0"/>
      <w:marTop w:val="0"/>
      <w:marBottom w:val="0"/>
      <w:divBdr>
        <w:top w:val="none" w:sz="0" w:space="0" w:color="auto"/>
        <w:left w:val="none" w:sz="0" w:space="0" w:color="auto"/>
        <w:bottom w:val="none" w:sz="0" w:space="0" w:color="auto"/>
        <w:right w:val="none" w:sz="0" w:space="0" w:color="auto"/>
      </w:divBdr>
      <w:divsChild>
        <w:div w:id="1550999116">
          <w:marLeft w:val="0"/>
          <w:marRight w:val="0"/>
          <w:marTop w:val="0"/>
          <w:marBottom w:val="0"/>
          <w:divBdr>
            <w:top w:val="none" w:sz="0" w:space="0" w:color="auto"/>
            <w:left w:val="none" w:sz="0" w:space="0" w:color="auto"/>
            <w:bottom w:val="none" w:sz="0" w:space="0" w:color="auto"/>
            <w:right w:val="none" w:sz="0" w:space="0" w:color="auto"/>
          </w:divBdr>
        </w:div>
      </w:divsChild>
    </w:div>
    <w:div w:id="1092627594">
      <w:bodyDiv w:val="1"/>
      <w:marLeft w:val="0"/>
      <w:marRight w:val="0"/>
      <w:marTop w:val="0"/>
      <w:marBottom w:val="0"/>
      <w:divBdr>
        <w:top w:val="none" w:sz="0" w:space="0" w:color="auto"/>
        <w:left w:val="none" w:sz="0" w:space="0" w:color="auto"/>
        <w:bottom w:val="none" w:sz="0" w:space="0" w:color="auto"/>
        <w:right w:val="none" w:sz="0" w:space="0" w:color="auto"/>
      </w:divBdr>
      <w:divsChild>
        <w:div w:id="925919841">
          <w:marLeft w:val="0"/>
          <w:marRight w:val="0"/>
          <w:marTop w:val="0"/>
          <w:marBottom w:val="0"/>
          <w:divBdr>
            <w:top w:val="none" w:sz="0" w:space="0" w:color="auto"/>
            <w:left w:val="none" w:sz="0" w:space="0" w:color="auto"/>
            <w:bottom w:val="none" w:sz="0" w:space="0" w:color="auto"/>
            <w:right w:val="none" w:sz="0" w:space="0" w:color="auto"/>
          </w:divBdr>
        </w:div>
      </w:divsChild>
    </w:div>
    <w:div w:id="1156218371">
      <w:bodyDiv w:val="1"/>
      <w:marLeft w:val="0"/>
      <w:marRight w:val="0"/>
      <w:marTop w:val="0"/>
      <w:marBottom w:val="0"/>
      <w:divBdr>
        <w:top w:val="none" w:sz="0" w:space="0" w:color="auto"/>
        <w:left w:val="none" w:sz="0" w:space="0" w:color="auto"/>
        <w:bottom w:val="none" w:sz="0" w:space="0" w:color="auto"/>
        <w:right w:val="none" w:sz="0" w:space="0" w:color="auto"/>
      </w:divBdr>
      <w:divsChild>
        <w:div w:id="667708535">
          <w:marLeft w:val="0"/>
          <w:marRight w:val="0"/>
          <w:marTop w:val="0"/>
          <w:marBottom w:val="0"/>
          <w:divBdr>
            <w:top w:val="none" w:sz="0" w:space="0" w:color="auto"/>
            <w:left w:val="none" w:sz="0" w:space="0" w:color="auto"/>
            <w:bottom w:val="none" w:sz="0" w:space="0" w:color="auto"/>
            <w:right w:val="none" w:sz="0" w:space="0" w:color="auto"/>
          </w:divBdr>
        </w:div>
      </w:divsChild>
    </w:div>
    <w:div w:id="1160803450">
      <w:bodyDiv w:val="1"/>
      <w:marLeft w:val="0"/>
      <w:marRight w:val="0"/>
      <w:marTop w:val="0"/>
      <w:marBottom w:val="0"/>
      <w:divBdr>
        <w:top w:val="none" w:sz="0" w:space="0" w:color="auto"/>
        <w:left w:val="none" w:sz="0" w:space="0" w:color="auto"/>
        <w:bottom w:val="none" w:sz="0" w:space="0" w:color="auto"/>
        <w:right w:val="none" w:sz="0" w:space="0" w:color="auto"/>
      </w:divBdr>
      <w:divsChild>
        <w:div w:id="1481462601">
          <w:marLeft w:val="0"/>
          <w:marRight w:val="0"/>
          <w:marTop w:val="0"/>
          <w:marBottom w:val="0"/>
          <w:divBdr>
            <w:top w:val="none" w:sz="0" w:space="0" w:color="auto"/>
            <w:left w:val="none" w:sz="0" w:space="0" w:color="auto"/>
            <w:bottom w:val="none" w:sz="0" w:space="0" w:color="auto"/>
            <w:right w:val="none" w:sz="0" w:space="0" w:color="auto"/>
          </w:divBdr>
        </w:div>
      </w:divsChild>
    </w:div>
    <w:div w:id="1358461161">
      <w:bodyDiv w:val="1"/>
      <w:marLeft w:val="0"/>
      <w:marRight w:val="0"/>
      <w:marTop w:val="0"/>
      <w:marBottom w:val="0"/>
      <w:divBdr>
        <w:top w:val="none" w:sz="0" w:space="0" w:color="auto"/>
        <w:left w:val="none" w:sz="0" w:space="0" w:color="auto"/>
        <w:bottom w:val="none" w:sz="0" w:space="0" w:color="auto"/>
        <w:right w:val="none" w:sz="0" w:space="0" w:color="auto"/>
      </w:divBdr>
      <w:divsChild>
        <w:div w:id="383916176">
          <w:marLeft w:val="0"/>
          <w:marRight w:val="0"/>
          <w:marTop w:val="0"/>
          <w:marBottom w:val="0"/>
          <w:divBdr>
            <w:top w:val="none" w:sz="0" w:space="0" w:color="auto"/>
            <w:left w:val="none" w:sz="0" w:space="0" w:color="auto"/>
            <w:bottom w:val="none" w:sz="0" w:space="0" w:color="auto"/>
            <w:right w:val="none" w:sz="0" w:space="0" w:color="auto"/>
          </w:divBdr>
        </w:div>
      </w:divsChild>
    </w:div>
    <w:div w:id="2047607368">
      <w:bodyDiv w:val="1"/>
      <w:marLeft w:val="0"/>
      <w:marRight w:val="0"/>
      <w:marTop w:val="0"/>
      <w:marBottom w:val="0"/>
      <w:divBdr>
        <w:top w:val="none" w:sz="0" w:space="0" w:color="auto"/>
        <w:left w:val="none" w:sz="0" w:space="0" w:color="auto"/>
        <w:bottom w:val="none" w:sz="0" w:space="0" w:color="auto"/>
        <w:right w:val="none" w:sz="0" w:space="0" w:color="auto"/>
      </w:divBdr>
      <w:divsChild>
        <w:div w:id="105587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49/192.163" TargetMode="External"/><Relationship Id="rId13" Type="http://schemas.openxmlformats.org/officeDocument/2006/relationships/hyperlink" Target="https://www.law.cornell.edu/cfr/text/49/192.163" TargetMode="External"/><Relationship Id="rId18" Type="http://schemas.openxmlformats.org/officeDocument/2006/relationships/hyperlink" Target="https://www.law.cornell.edu/cfr/text/49/192.153" TargetMode="External"/><Relationship Id="rId26" Type="http://schemas.openxmlformats.org/officeDocument/2006/relationships/hyperlink" Target="https://www.law.cornell.edu/cfr/text/49/192.167" TargetMode="External"/><Relationship Id="rId39" Type="http://schemas.openxmlformats.org/officeDocument/2006/relationships/hyperlink" Target="https://www.law.cornell.edu/cfr/text/49/192.171" TargetMode="External"/><Relationship Id="rId3" Type="http://schemas.openxmlformats.org/officeDocument/2006/relationships/webSettings" Target="webSettings.xml"/><Relationship Id="rId21" Type="http://schemas.openxmlformats.org/officeDocument/2006/relationships/hyperlink" Target="https://www.law.cornell.edu/cfr/text/49/192.167" TargetMode="External"/><Relationship Id="rId34" Type="http://schemas.openxmlformats.org/officeDocument/2006/relationships/hyperlink" Target="https://www.law.cornell.edu/cfr/text/49/192.169" TargetMode="External"/><Relationship Id="rId42" Type="http://schemas.openxmlformats.org/officeDocument/2006/relationships/hyperlink" Target="https://www.law.cornell.edu/cfr/text/49/192.171" TargetMode="External"/><Relationship Id="rId7" Type="http://schemas.openxmlformats.org/officeDocument/2006/relationships/hyperlink" Target="https://www.law.cornell.edu/cfr/text/49/192.163" TargetMode="External"/><Relationship Id="rId12" Type="http://schemas.openxmlformats.org/officeDocument/2006/relationships/hyperlink" Target="https://www.law.cornell.edu/cfr/text/49/192.163" TargetMode="External"/><Relationship Id="rId17" Type="http://schemas.openxmlformats.org/officeDocument/2006/relationships/hyperlink" Target="https://www.law.cornell.edu/cfr/text/49/192.7" TargetMode="External"/><Relationship Id="rId25" Type="http://schemas.openxmlformats.org/officeDocument/2006/relationships/hyperlink" Target="https://www.law.cornell.edu/cfr/text/49/192.167" TargetMode="External"/><Relationship Id="rId33" Type="http://schemas.openxmlformats.org/officeDocument/2006/relationships/hyperlink" Target="https://www.law.cornell.edu/cfr/text/49/192.167" TargetMode="External"/><Relationship Id="rId38" Type="http://schemas.openxmlformats.org/officeDocument/2006/relationships/hyperlink" Target="https://www.law.cornell.edu/cfr/text/49/192.17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aw.cornell.edu/cfr/text/49/192.165" TargetMode="External"/><Relationship Id="rId20" Type="http://schemas.openxmlformats.org/officeDocument/2006/relationships/hyperlink" Target="https://www.law.cornell.edu/cfr/text/49/192.167" TargetMode="External"/><Relationship Id="rId29" Type="http://schemas.openxmlformats.org/officeDocument/2006/relationships/hyperlink" Target="https://www.law.cornell.edu/cfr/text/49/192.167" TargetMode="External"/><Relationship Id="rId41" Type="http://schemas.openxmlformats.org/officeDocument/2006/relationships/hyperlink" Target="https://www.law.cornell.edu/cfr/text/49/192.171" TargetMode="External"/><Relationship Id="rId1" Type="http://schemas.openxmlformats.org/officeDocument/2006/relationships/styles" Target="styles.xml"/><Relationship Id="rId6" Type="http://schemas.openxmlformats.org/officeDocument/2006/relationships/hyperlink" Target="https://www.law.cornell.edu/cfr/text/49/192.163" TargetMode="External"/><Relationship Id="rId11" Type="http://schemas.openxmlformats.org/officeDocument/2006/relationships/hyperlink" Target="https://www.law.cornell.edu/cfr/text/49/192.163" TargetMode="External"/><Relationship Id="rId24" Type="http://schemas.openxmlformats.org/officeDocument/2006/relationships/hyperlink" Target="https://www.law.cornell.edu/cfr/text/49/192.167" TargetMode="External"/><Relationship Id="rId32" Type="http://schemas.openxmlformats.org/officeDocument/2006/relationships/hyperlink" Target="https://www.law.cornell.edu/cfr/text/49/192.167" TargetMode="External"/><Relationship Id="rId37" Type="http://schemas.openxmlformats.org/officeDocument/2006/relationships/hyperlink" Target="https://www.law.cornell.edu/cfr/text/49/192.169" TargetMode="External"/><Relationship Id="rId40" Type="http://schemas.openxmlformats.org/officeDocument/2006/relationships/hyperlink" Target="https://www.law.cornell.edu/cfr/text/49/192.171" TargetMode="External"/><Relationship Id="rId45" Type="http://schemas.openxmlformats.org/officeDocument/2006/relationships/fontTable" Target="fontTable.xml"/><Relationship Id="rId5" Type="http://schemas.openxmlformats.org/officeDocument/2006/relationships/hyperlink" Target="https://www.law.cornell.edu/cfr/text/49/192.163" TargetMode="External"/><Relationship Id="rId15" Type="http://schemas.openxmlformats.org/officeDocument/2006/relationships/hyperlink" Target="https://www.law.cornell.edu/cfr/text/49/192.165" TargetMode="External"/><Relationship Id="rId23" Type="http://schemas.openxmlformats.org/officeDocument/2006/relationships/hyperlink" Target="https://www.law.cornell.edu/cfr/text/49/192.167" TargetMode="External"/><Relationship Id="rId28" Type="http://schemas.openxmlformats.org/officeDocument/2006/relationships/hyperlink" Target="https://www.law.cornell.edu/cfr/text/49/192.167" TargetMode="External"/><Relationship Id="rId36" Type="http://schemas.openxmlformats.org/officeDocument/2006/relationships/hyperlink" Target="https://www.law.cornell.edu/cfr/text/49/192.169" TargetMode="External"/><Relationship Id="rId10" Type="http://schemas.openxmlformats.org/officeDocument/2006/relationships/hyperlink" Target="https://www.law.cornell.edu/cfr/text/49/192.163" TargetMode="External"/><Relationship Id="rId19" Type="http://schemas.openxmlformats.org/officeDocument/2006/relationships/hyperlink" Target="https://www.law.cornell.edu/cfr/text/49/192.165" TargetMode="External"/><Relationship Id="rId31" Type="http://schemas.openxmlformats.org/officeDocument/2006/relationships/hyperlink" Target="https://www.law.cornell.edu/cfr/text/49/192.167" TargetMode="External"/><Relationship Id="rId44" Type="http://schemas.openxmlformats.org/officeDocument/2006/relationships/hyperlink" Target="https://www.law.cornell.edu/cfr/text/49/192.173" TargetMode="External"/><Relationship Id="rId4" Type="http://schemas.openxmlformats.org/officeDocument/2006/relationships/hyperlink" Target="https://www.law.cornell.edu/cfr/text/49/192.163" TargetMode="External"/><Relationship Id="rId9" Type="http://schemas.openxmlformats.org/officeDocument/2006/relationships/hyperlink" Target="https://www.law.cornell.edu/cfr/text/49/192.163" TargetMode="External"/><Relationship Id="rId14" Type="http://schemas.openxmlformats.org/officeDocument/2006/relationships/hyperlink" Target="https://www.law.cornell.edu/cfr/text/49/192.165" TargetMode="External"/><Relationship Id="rId22" Type="http://schemas.openxmlformats.org/officeDocument/2006/relationships/hyperlink" Target="https://www.law.cornell.edu/cfr/text/49/192.167" TargetMode="External"/><Relationship Id="rId27" Type="http://schemas.openxmlformats.org/officeDocument/2006/relationships/hyperlink" Target="https://www.law.cornell.edu/cfr/text/49/192.167" TargetMode="External"/><Relationship Id="rId30" Type="http://schemas.openxmlformats.org/officeDocument/2006/relationships/hyperlink" Target="https://www.law.cornell.edu/cfr/text/49/192.167" TargetMode="External"/><Relationship Id="rId35" Type="http://schemas.openxmlformats.org/officeDocument/2006/relationships/hyperlink" Target="https://www.law.cornell.edu/cfr/text/49/192.169" TargetMode="External"/><Relationship Id="rId43" Type="http://schemas.openxmlformats.org/officeDocument/2006/relationships/hyperlink" Target="https://www.law.cornell.edu/cfr/text/49/192.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Marszal</dc:creator>
  <cp:keywords/>
  <dc:description/>
  <cp:lastModifiedBy>Edward Marszal</cp:lastModifiedBy>
  <cp:revision>2</cp:revision>
  <dcterms:created xsi:type="dcterms:W3CDTF">2019-06-06T20:26:00Z</dcterms:created>
  <dcterms:modified xsi:type="dcterms:W3CDTF">2019-06-06T20:28:00Z</dcterms:modified>
</cp:coreProperties>
</file>